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25" w:rsidRPr="00F54B25" w:rsidRDefault="00F54B25" w:rsidP="00F54B25">
      <w:pPr>
        <w:shd w:val="clear" w:color="auto" w:fill="FFFFFF"/>
        <w:spacing w:after="0" w:line="240" w:lineRule="auto"/>
        <w:outlineLvl w:val="0"/>
        <w:rPr>
          <w:rFonts w:ascii="Arial" w:eastAsia="Times New Roman" w:hAnsi="Arial" w:cs="Arial"/>
          <w:b/>
          <w:bCs/>
          <w:color w:val="000000"/>
          <w:kern w:val="36"/>
          <w:sz w:val="23"/>
          <w:szCs w:val="23"/>
        </w:rPr>
      </w:pPr>
      <w:r w:rsidRPr="00F54B25">
        <w:rPr>
          <w:rFonts w:ascii="Arial" w:eastAsia="Times New Roman" w:hAnsi="Arial" w:cs="Arial"/>
          <w:b/>
          <w:bCs/>
          <w:color w:val="000000"/>
          <w:kern w:val="36"/>
          <w:sz w:val="23"/>
          <w:szCs w:val="23"/>
        </w:rPr>
        <w:t>Circulars to Listed Companies</w:t>
      </w:r>
    </w:p>
    <w:p w:rsidR="00F54B25" w:rsidRPr="00F54B25" w:rsidRDefault="00F54B25" w:rsidP="00F54B25">
      <w:pPr>
        <w:shd w:val="clear" w:color="auto" w:fill="FFFFFF"/>
        <w:spacing w:after="0" w:line="240" w:lineRule="auto"/>
        <w:rPr>
          <w:rFonts w:ascii="Arial" w:eastAsia="Times New Roman" w:hAnsi="Arial" w:cs="Arial"/>
          <w:b/>
          <w:bCs/>
          <w:color w:val="838383"/>
          <w:sz w:val="17"/>
          <w:szCs w:val="17"/>
        </w:rPr>
      </w:pPr>
      <w:hyperlink r:id="rId4" w:history="1">
        <w:r w:rsidRPr="00F54B25">
          <w:rPr>
            <w:rFonts w:ascii="Arial" w:eastAsia="Times New Roman" w:hAnsi="Arial" w:cs="Arial"/>
            <w:b/>
            <w:bCs/>
            <w:color w:val="0089D0"/>
            <w:sz w:val="18"/>
            <w:u w:val="single"/>
          </w:rPr>
          <w:t>Go Back</w:t>
        </w:r>
      </w:hyperlink>
    </w:p>
    <w:tbl>
      <w:tblPr>
        <w:tblW w:w="11700" w:type="dxa"/>
        <w:tblCellSpacing w:w="0" w:type="dxa"/>
        <w:tblCellMar>
          <w:left w:w="0" w:type="dxa"/>
          <w:right w:w="0" w:type="dxa"/>
        </w:tblCellMar>
        <w:tblLook w:val="04A0"/>
      </w:tblPr>
      <w:tblGrid>
        <w:gridCol w:w="11700"/>
      </w:tblGrid>
      <w:tr w:rsidR="00F54B25" w:rsidRPr="00F54B25" w:rsidTr="00F54B25">
        <w:trPr>
          <w:trHeight w:val="480"/>
          <w:tblCellSpacing w:w="0" w:type="dxa"/>
        </w:trPr>
        <w:tc>
          <w:tcPr>
            <w:tcW w:w="0" w:type="auto"/>
            <w:tcBorders>
              <w:top w:val="nil"/>
              <w:left w:val="nil"/>
              <w:bottom w:val="nil"/>
              <w:right w:val="nil"/>
            </w:tcBorders>
            <w:vAlign w:val="center"/>
            <w:hideMark/>
          </w:tcPr>
          <w:tbl>
            <w:tblPr>
              <w:tblW w:w="11700" w:type="dxa"/>
              <w:tblCellSpacing w:w="0" w:type="dxa"/>
              <w:tblCellMar>
                <w:left w:w="0" w:type="dxa"/>
                <w:right w:w="0" w:type="dxa"/>
              </w:tblCellMar>
              <w:tblLook w:val="04A0"/>
            </w:tblPr>
            <w:tblGrid>
              <w:gridCol w:w="11700"/>
            </w:tblGrid>
            <w:tr w:rsidR="00F54B25" w:rsidRPr="00F54B25">
              <w:trPr>
                <w:tblCellSpacing w:w="0" w:type="dxa"/>
              </w:trPr>
              <w:tc>
                <w:tcPr>
                  <w:tcW w:w="0" w:type="auto"/>
                  <w:tcBorders>
                    <w:top w:val="nil"/>
                    <w:left w:val="nil"/>
                    <w:bottom w:val="nil"/>
                    <w:right w:val="nil"/>
                  </w:tcBorders>
                  <w:shd w:val="clear" w:color="auto" w:fill="D6D6D6"/>
                  <w:vAlign w:val="center"/>
                  <w:hideMark/>
                </w:tcPr>
                <w:tbl>
                  <w:tblPr>
                    <w:tblW w:w="11700" w:type="dxa"/>
                    <w:tblCellSpacing w:w="0" w:type="dxa"/>
                    <w:tblCellMar>
                      <w:left w:w="0" w:type="dxa"/>
                      <w:right w:w="0" w:type="dxa"/>
                    </w:tblCellMar>
                    <w:tblLook w:val="04A0"/>
                  </w:tblPr>
                  <w:tblGrid>
                    <w:gridCol w:w="11700"/>
                  </w:tblGrid>
                  <w:tr w:rsidR="00F54B25" w:rsidRPr="00F54B25">
                    <w:trPr>
                      <w:trHeight w:val="450"/>
                      <w:tblCellSpacing w:w="0" w:type="dxa"/>
                    </w:trPr>
                    <w:tc>
                      <w:tcPr>
                        <w:tcW w:w="0" w:type="auto"/>
                        <w:tcBorders>
                          <w:top w:val="nil"/>
                          <w:left w:val="nil"/>
                          <w:bottom w:val="nil"/>
                          <w:right w:val="nil"/>
                        </w:tcBorders>
                        <w:shd w:val="clear" w:color="auto" w:fill="FFFFFF"/>
                        <w:tcMar>
                          <w:top w:w="0" w:type="dxa"/>
                          <w:left w:w="75" w:type="dxa"/>
                          <w:bottom w:w="0" w:type="dxa"/>
                          <w:right w:w="75" w:type="dxa"/>
                        </w:tcMar>
                        <w:vAlign w:val="center"/>
                        <w:hideMark/>
                      </w:tcPr>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LIST/COMP/15/2018-19                                                                                                          July 05, 2018</w:t>
                        </w:r>
                      </w:p>
                      <w:p w:rsidR="00F54B25" w:rsidRPr="00F54B25" w:rsidRDefault="00F54B25" w:rsidP="00F54B25">
                        <w:pPr>
                          <w:spacing w:after="0" w:line="240" w:lineRule="auto"/>
                          <w:rPr>
                            <w:rFonts w:ascii="Arial" w:eastAsia="Times New Roman" w:hAnsi="Arial" w:cs="Arial"/>
                            <w:color w:val="000000"/>
                            <w:sz w:val="18"/>
                            <w:szCs w:val="18"/>
                          </w:rPr>
                        </w:pPr>
                        <w:r w:rsidRPr="00F54B25">
                          <w:rPr>
                            <w:rFonts w:ascii="Calibri" w:eastAsia="Times New Roman" w:hAnsi="Calibri" w:cs="Calibri"/>
                            <w:color w:val="000000"/>
                            <w:sz w:val="24"/>
                            <w:szCs w:val="24"/>
                          </w:rPr>
                          <w:t>To</w:t>
                        </w:r>
                      </w:p>
                      <w:p w:rsidR="00F54B25" w:rsidRPr="00F54B25" w:rsidRDefault="00F54B25" w:rsidP="00F54B25">
                        <w:pPr>
                          <w:spacing w:after="0" w:line="240" w:lineRule="auto"/>
                          <w:rPr>
                            <w:rFonts w:ascii="Arial" w:eastAsia="Times New Roman" w:hAnsi="Arial" w:cs="Arial"/>
                            <w:color w:val="000000"/>
                            <w:sz w:val="18"/>
                            <w:szCs w:val="18"/>
                          </w:rPr>
                        </w:pPr>
                        <w:r w:rsidRPr="00F54B25">
                          <w:rPr>
                            <w:rFonts w:ascii="Calibri" w:eastAsia="Times New Roman" w:hAnsi="Calibri" w:cs="Calibri"/>
                            <w:color w:val="000000"/>
                            <w:sz w:val="24"/>
                            <w:szCs w:val="24"/>
                          </w:rPr>
                          <w:t>All the Listed Companies,</w:t>
                        </w:r>
                      </w:p>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Dear Sir / Madam,</w:t>
                        </w:r>
                      </w:p>
                      <w:p w:rsidR="00F54B25" w:rsidRPr="00F54B25" w:rsidRDefault="00F54B25" w:rsidP="00F54B25">
                        <w:pPr>
                          <w:spacing w:after="0" w:line="240" w:lineRule="auto"/>
                          <w:ind w:left="900" w:hanging="900"/>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Subject: </w:t>
                        </w:r>
                        <w:r w:rsidRPr="00F54B25">
                          <w:rPr>
                            <w:rFonts w:ascii="Calibri" w:eastAsia="Times New Roman" w:hAnsi="Calibri" w:cs="Calibri"/>
                            <w:b/>
                            <w:bCs/>
                            <w:color w:val="000000"/>
                            <w:sz w:val="24"/>
                            <w:szCs w:val="24"/>
                            <w:u w:val="single"/>
                            <w:bdr w:val="none" w:sz="0" w:space="0" w:color="auto" w:frame="1"/>
                          </w:rPr>
                          <w:t>Amendment to Regulation 40 of Securities and Exchange Board of India (Listing Obligations and Disclosure Requirements) Regulations, 2015 with respect to mandatory dematerialization for transfer of securities</w:t>
                        </w:r>
                      </w:p>
                      <w:p w:rsidR="00F54B25" w:rsidRPr="00F54B25" w:rsidRDefault="00F54B25" w:rsidP="00F54B25">
                        <w:pPr>
                          <w:spacing w:before="315" w:after="0" w:line="301" w:lineRule="atLeast"/>
                          <w:jc w:val="both"/>
                          <w:textAlignment w:val="baseline"/>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The amendment to Regulation 40 of Securities and Exchange Board of India (Listing Obligations and Disclosure Requirements) Regulations, 2015 vide Gazette notification dated June 8, 2018 has mandated that transfer of securities would be carried out in dematerialized form only.</w:t>
                        </w:r>
                      </w:p>
                      <w:p w:rsidR="00F54B25" w:rsidRPr="00F54B25" w:rsidRDefault="00F54B25" w:rsidP="00F54B25">
                        <w:pPr>
                          <w:spacing w:after="0" w:line="301" w:lineRule="atLeast"/>
                          <w:jc w:val="both"/>
                          <w:textAlignment w:val="baseline"/>
                          <w:rPr>
                            <w:rFonts w:ascii="Times New Roman" w:eastAsia="Times New Roman" w:hAnsi="Times New Roman" w:cs="Times New Roman"/>
                            <w:color w:val="000000"/>
                            <w:sz w:val="24"/>
                            <w:szCs w:val="24"/>
                          </w:rPr>
                        </w:pPr>
                        <w:r w:rsidRPr="00F54B25">
                          <w:rPr>
                            <w:rFonts w:ascii="Calibri" w:eastAsia="Times New Roman" w:hAnsi="Calibri" w:cs="Calibri"/>
                            <w:b/>
                            <w:bCs/>
                            <w:color w:val="000000"/>
                            <w:sz w:val="24"/>
                            <w:szCs w:val="24"/>
                            <w:bdr w:val="none" w:sz="0" w:space="0" w:color="auto" w:frame="1"/>
                          </w:rPr>
                          <w:t>Accordingly, Listed Companies and their Registrars and Transfer Agents (RTAs) are hereby advised that, with effect from December 5, 2018, it should be ensured that shares which are lodged for transfer shall be in dematerialized form only.</w:t>
                        </w:r>
                      </w:p>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In order to implement the aforementioned Amendment in the Regulation and as advised by SEBI, all the Listed Companies are hereby directed to carry out the following actions:</w:t>
                        </w:r>
                      </w:p>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 </w:t>
                        </w:r>
                      </w:p>
                      <w:p w:rsidR="00F54B25" w:rsidRPr="00F54B25" w:rsidRDefault="00F54B25" w:rsidP="00F54B25">
                        <w:pPr>
                          <w:spacing w:after="0" w:line="240" w:lineRule="auto"/>
                          <w:ind w:left="720" w:hanging="360"/>
                          <w:jc w:val="both"/>
                          <w:rPr>
                            <w:rFonts w:ascii="Arial" w:eastAsia="Times New Roman" w:hAnsi="Arial" w:cs="Arial"/>
                            <w:color w:val="000000"/>
                            <w:sz w:val="18"/>
                            <w:szCs w:val="18"/>
                          </w:rPr>
                        </w:pPr>
                        <w:r w:rsidRPr="00F54B25">
                          <w:rPr>
                            <w:rFonts w:ascii="Calibri" w:eastAsia="Times New Roman" w:hAnsi="Calibri" w:cs="Calibri"/>
                            <w:color w:val="000000"/>
                            <w:sz w:val="24"/>
                            <w:szCs w:val="24"/>
                          </w:rPr>
                          <w:t>1)</w:t>
                        </w:r>
                        <w:r w:rsidRPr="00F54B25">
                          <w:rPr>
                            <w:rFonts w:ascii="Times New Roman" w:eastAsia="Times New Roman" w:hAnsi="Times New Roman" w:cs="Times New Roman"/>
                            <w:color w:val="000000"/>
                            <w:sz w:val="14"/>
                            <w:szCs w:val="14"/>
                          </w:rPr>
                          <w:t>      </w:t>
                        </w:r>
                        <w:r w:rsidRPr="00F54B25">
                          <w:rPr>
                            <w:rFonts w:ascii="Calibri" w:eastAsia="Times New Roman" w:hAnsi="Calibri" w:cs="Calibri"/>
                            <w:color w:val="000000"/>
                            <w:sz w:val="24"/>
                            <w:szCs w:val="24"/>
                          </w:rPr>
                          <w:t xml:space="preserve">To take special efforts through their RTAs to send letter under Registered/Speed post to the holders of physical certificates appraising them about the amendment and </w:t>
                        </w:r>
                        <w:proofErr w:type="spellStart"/>
                        <w:r w:rsidRPr="00F54B25">
                          <w:rPr>
                            <w:rFonts w:ascii="Calibri" w:eastAsia="Times New Roman" w:hAnsi="Calibri" w:cs="Calibri"/>
                            <w:color w:val="000000"/>
                            <w:sz w:val="24"/>
                            <w:szCs w:val="24"/>
                          </w:rPr>
                          <w:t>sensitise</w:t>
                        </w:r>
                        <w:proofErr w:type="spellEnd"/>
                        <w:r w:rsidRPr="00F54B25">
                          <w:rPr>
                            <w:rFonts w:ascii="Calibri" w:eastAsia="Times New Roman" w:hAnsi="Calibri" w:cs="Calibri"/>
                            <w:color w:val="000000"/>
                            <w:sz w:val="24"/>
                            <w:szCs w:val="24"/>
                          </w:rPr>
                          <w:t xml:space="preserve"> them about the impact of the regulation on the transfer of shares held by them in physical form </w:t>
                        </w:r>
                        <w:proofErr w:type="spellStart"/>
                        <w:r w:rsidRPr="00F54B25">
                          <w:rPr>
                            <w:rFonts w:ascii="Calibri" w:eastAsia="Times New Roman" w:hAnsi="Calibri" w:cs="Calibri"/>
                            <w:color w:val="000000"/>
                            <w:sz w:val="24"/>
                            <w:szCs w:val="24"/>
                          </w:rPr>
                          <w:t>w.e.f</w:t>
                        </w:r>
                        <w:proofErr w:type="spellEnd"/>
                        <w:r w:rsidRPr="00F54B25">
                          <w:rPr>
                            <w:rFonts w:ascii="Calibri" w:eastAsia="Times New Roman" w:hAnsi="Calibri" w:cs="Calibri"/>
                            <w:color w:val="000000"/>
                            <w:sz w:val="24"/>
                            <w:szCs w:val="24"/>
                          </w:rPr>
                          <w:t xml:space="preserve"> December 5, 2018.</w:t>
                        </w:r>
                      </w:p>
                      <w:p w:rsidR="00F54B25" w:rsidRPr="00F54B25" w:rsidRDefault="00F54B25" w:rsidP="00F54B25">
                        <w:pPr>
                          <w:spacing w:after="0" w:line="240" w:lineRule="auto"/>
                          <w:ind w:left="720" w:hanging="360"/>
                          <w:jc w:val="both"/>
                          <w:rPr>
                            <w:rFonts w:ascii="Arial" w:eastAsia="Times New Roman" w:hAnsi="Arial" w:cs="Arial"/>
                            <w:color w:val="000000"/>
                            <w:sz w:val="18"/>
                            <w:szCs w:val="18"/>
                          </w:rPr>
                        </w:pPr>
                        <w:r w:rsidRPr="00F54B25">
                          <w:rPr>
                            <w:rFonts w:ascii="Calibri" w:eastAsia="Times New Roman" w:hAnsi="Calibri" w:cs="Calibri"/>
                            <w:color w:val="000000"/>
                            <w:sz w:val="24"/>
                            <w:szCs w:val="24"/>
                          </w:rPr>
                          <w:t>2)</w:t>
                        </w:r>
                        <w:r w:rsidRPr="00F54B25">
                          <w:rPr>
                            <w:rFonts w:ascii="Times New Roman" w:eastAsia="Times New Roman" w:hAnsi="Times New Roman" w:cs="Times New Roman"/>
                            <w:color w:val="000000"/>
                            <w:sz w:val="14"/>
                            <w:szCs w:val="14"/>
                          </w:rPr>
                          <w:t>      </w:t>
                        </w:r>
                        <w:r w:rsidRPr="00F54B25">
                          <w:rPr>
                            <w:rFonts w:ascii="Calibri" w:eastAsia="Times New Roman" w:hAnsi="Calibri" w:cs="Calibri"/>
                            <w:color w:val="000000"/>
                            <w:sz w:val="24"/>
                            <w:szCs w:val="24"/>
                          </w:rPr>
                          <w:t>RTAs may also be advised to send two reminders, preferably at a gap of 30 days, to such shareholders who continue to hold their shares in physical form, advising them to get the same dematerialized</w:t>
                        </w:r>
                      </w:p>
                      <w:p w:rsidR="00F54B25" w:rsidRPr="00F54B25" w:rsidRDefault="00F54B25" w:rsidP="00F54B25">
                        <w:pPr>
                          <w:spacing w:after="0" w:line="240" w:lineRule="auto"/>
                          <w:ind w:left="720" w:hanging="360"/>
                          <w:jc w:val="both"/>
                          <w:rPr>
                            <w:rFonts w:ascii="Arial" w:eastAsia="Times New Roman" w:hAnsi="Arial" w:cs="Arial"/>
                            <w:color w:val="000000"/>
                            <w:sz w:val="18"/>
                            <w:szCs w:val="18"/>
                          </w:rPr>
                        </w:pPr>
                        <w:r w:rsidRPr="00F54B25">
                          <w:rPr>
                            <w:rFonts w:ascii="Calibri" w:eastAsia="Times New Roman" w:hAnsi="Calibri" w:cs="Calibri"/>
                            <w:color w:val="000000"/>
                            <w:sz w:val="24"/>
                            <w:szCs w:val="24"/>
                          </w:rPr>
                          <w:t>3)</w:t>
                        </w:r>
                        <w:r w:rsidRPr="00F54B25">
                          <w:rPr>
                            <w:rFonts w:ascii="Times New Roman" w:eastAsia="Times New Roman" w:hAnsi="Times New Roman" w:cs="Times New Roman"/>
                            <w:color w:val="000000"/>
                            <w:sz w:val="14"/>
                            <w:szCs w:val="14"/>
                          </w:rPr>
                          <w:t>      </w:t>
                        </w:r>
                        <w:r w:rsidRPr="00F54B25">
                          <w:rPr>
                            <w:rFonts w:ascii="Calibri" w:eastAsia="Times New Roman" w:hAnsi="Calibri" w:cs="Calibri"/>
                            <w:color w:val="000000"/>
                            <w:sz w:val="24"/>
                            <w:szCs w:val="24"/>
                          </w:rPr>
                          <w:t>Listed Companies shall prominently place information on their website intimating the investors about the proposed change and provide appropriate guidance on how to dematerialize their shares.</w:t>
                        </w:r>
                      </w:p>
                      <w:p w:rsidR="00F54B25" w:rsidRPr="00F54B25" w:rsidRDefault="00F54B25" w:rsidP="00F54B25">
                        <w:pPr>
                          <w:spacing w:after="160" w:line="240" w:lineRule="auto"/>
                          <w:ind w:left="720" w:hanging="360"/>
                          <w:jc w:val="both"/>
                          <w:rPr>
                            <w:rFonts w:ascii="Arial" w:eastAsia="Times New Roman" w:hAnsi="Arial" w:cs="Arial"/>
                            <w:color w:val="000000"/>
                            <w:sz w:val="18"/>
                            <w:szCs w:val="18"/>
                          </w:rPr>
                        </w:pPr>
                        <w:r w:rsidRPr="00F54B25">
                          <w:rPr>
                            <w:rFonts w:ascii="Calibri" w:eastAsia="Times New Roman" w:hAnsi="Calibri" w:cs="Calibri"/>
                            <w:color w:val="000000"/>
                            <w:sz w:val="24"/>
                            <w:szCs w:val="24"/>
                          </w:rPr>
                          <w:t>4)</w:t>
                        </w:r>
                        <w:r w:rsidRPr="00F54B25">
                          <w:rPr>
                            <w:rFonts w:ascii="Times New Roman" w:eastAsia="Times New Roman" w:hAnsi="Times New Roman" w:cs="Times New Roman"/>
                            <w:color w:val="000000"/>
                            <w:sz w:val="14"/>
                            <w:szCs w:val="14"/>
                          </w:rPr>
                          <w:t>      </w:t>
                        </w:r>
                        <w:r w:rsidRPr="00F54B25">
                          <w:rPr>
                            <w:rFonts w:ascii="Calibri" w:eastAsia="Times New Roman" w:hAnsi="Calibri" w:cs="Calibri"/>
                            <w:color w:val="000000"/>
                            <w:sz w:val="24"/>
                            <w:szCs w:val="24"/>
                          </w:rPr>
                          <w:t>Listed companies should ensure that the signature cards of all the holders of physical securities are handed over to its RTA at the earliest.</w:t>
                        </w:r>
                      </w:p>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All listed companies are requested to take note of above and comply accordingly. Companies may also report compliance with these requirements by end September 2018 to the Exchange, in a specified format that will be sent out shortly.     </w:t>
                        </w:r>
                      </w:p>
                      <w:p w:rsidR="00F54B25" w:rsidRPr="00F54B25" w:rsidRDefault="00F54B25" w:rsidP="00F54B25">
                        <w:pPr>
                          <w:spacing w:after="16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 </w:t>
                        </w:r>
                      </w:p>
                      <w:p w:rsidR="00F54B25" w:rsidRPr="00F54B25" w:rsidRDefault="00F54B25" w:rsidP="00F54B25">
                        <w:pPr>
                          <w:spacing w:after="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 </w:t>
                        </w:r>
                        <w:proofErr w:type="spellStart"/>
                        <w:r w:rsidRPr="00F54B25">
                          <w:rPr>
                            <w:rFonts w:ascii="Calibri" w:eastAsia="Times New Roman" w:hAnsi="Calibri" w:cs="Calibri"/>
                            <w:color w:val="000000"/>
                            <w:sz w:val="24"/>
                            <w:szCs w:val="24"/>
                          </w:rPr>
                          <w:t>Abhijit</w:t>
                        </w:r>
                        <w:proofErr w:type="spellEnd"/>
                        <w:r w:rsidRPr="00F54B25">
                          <w:rPr>
                            <w:rFonts w:ascii="Calibri" w:eastAsia="Times New Roman" w:hAnsi="Calibri" w:cs="Calibri"/>
                            <w:color w:val="000000"/>
                            <w:sz w:val="24"/>
                            <w:szCs w:val="24"/>
                          </w:rPr>
                          <w:t xml:space="preserve"> Pai                                                                                           Shyam </w:t>
                        </w:r>
                        <w:proofErr w:type="spellStart"/>
                        <w:r w:rsidRPr="00F54B25">
                          <w:rPr>
                            <w:rFonts w:ascii="Calibri" w:eastAsia="Times New Roman" w:hAnsi="Calibri" w:cs="Calibri"/>
                            <w:color w:val="000000"/>
                            <w:sz w:val="24"/>
                            <w:szCs w:val="24"/>
                          </w:rPr>
                          <w:t>Bhagirath</w:t>
                        </w:r>
                        <w:proofErr w:type="spellEnd"/>
                      </w:p>
                      <w:p w:rsidR="00F54B25" w:rsidRPr="00F54B25" w:rsidRDefault="00F54B25" w:rsidP="00F54B25">
                        <w:pPr>
                          <w:spacing w:after="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Dy. Gen. Manager                                                                              Associate Manager</w:t>
                        </w:r>
                      </w:p>
                      <w:p w:rsidR="00F54B25" w:rsidRPr="00F54B25" w:rsidRDefault="00F54B25" w:rsidP="00F54B25">
                        <w:pPr>
                          <w:spacing w:after="0" w:line="240" w:lineRule="auto"/>
                          <w:jc w:val="both"/>
                          <w:rPr>
                            <w:rFonts w:ascii="Times New Roman" w:eastAsia="Times New Roman" w:hAnsi="Times New Roman" w:cs="Times New Roman"/>
                            <w:color w:val="000000"/>
                            <w:sz w:val="24"/>
                            <w:szCs w:val="24"/>
                          </w:rPr>
                        </w:pPr>
                        <w:r w:rsidRPr="00F54B25">
                          <w:rPr>
                            <w:rFonts w:ascii="Calibri" w:eastAsia="Times New Roman" w:hAnsi="Calibri" w:cs="Calibri"/>
                            <w:color w:val="000000"/>
                            <w:sz w:val="24"/>
                            <w:szCs w:val="24"/>
                          </w:rPr>
                          <w:t>Listing Compliance                                                                             Listing Compliance</w:t>
                        </w:r>
                      </w:p>
                    </w:tc>
                  </w:tr>
                </w:tbl>
                <w:p w:rsidR="00F54B25" w:rsidRPr="00F54B25" w:rsidRDefault="00F54B25" w:rsidP="00F54B25">
                  <w:pPr>
                    <w:spacing w:after="0" w:line="240" w:lineRule="auto"/>
                    <w:rPr>
                      <w:rFonts w:ascii="Times New Roman" w:eastAsia="Times New Roman" w:hAnsi="Times New Roman" w:cs="Times New Roman"/>
                      <w:sz w:val="18"/>
                      <w:szCs w:val="18"/>
                    </w:rPr>
                  </w:pPr>
                </w:p>
              </w:tc>
            </w:tr>
          </w:tbl>
          <w:p w:rsidR="00F54B25" w:rsidRPr="00F54B25" w:rsidRDefault="00F54B25" w:rsidP="00F54B25">
            <w:pPr>
              <w:spacing w:after="0" w:line="240" w:lineRule="auto"/>
              <w:rPr>
                <w:rFonts w:ascii="Times New Roman" w:eastAsia="Times New Roman" w:hAnsi="Times New Roman" w:cs="Times New Roman"/>
                <w:sz w:val="18"/>
                <w:szCs w:val="18"/>
              </w:rPr>
            </w:pPr>
          </w:p>
        </w:tc>
      </w:tr>
    </w:tbl>
    <w:p w:rsidR="00891DD5" w:rsidRDefault="00891DD5"/>
    <w:sectPr w:rsidR="00891DD5" w:rsidSect="00891D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F54B25"/>
    <w:rsid w:val="00364FB2"/>
    <w:rsid w:val="00891DD5"/>
    <w:rsid w:val="00F54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D5"/>
  </w:style>
  <w:style w:type="paragraph" w:styleId="Heading1">
    <w:name w:val="heading 1"/>
    <w:basedOn w:val="Normal"/>
    <w:link w:val="Heading1Char"/>
    <w:uiPriority w:val="9"/>
    <w:qFormat/>
    <w:rsid w:val="00F54B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4B25"/>
    <w:rPr>
      <w:color w:val="0000FF"/>
      <w:u w:val="single"/>
    </w:rPr>
  </w:style>
  <w:style w:type="paragraph" w:customStyle="1" w:styleId="default">
    <w:name w:val="default"/>
    <w:basedOn w:val="Normal"/>
    <w:rsid w:val="00F54B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4B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8437705">
      <w:bodyDiv w:val="1"/>
      <w:marLeft w:val="0"/>
      <w:marRight w:val="0"/>
      <w:marTop w:val="0"/>
      <w:marBottom w:val="0"/>
      <w:divBdr>
        <w:top w:val="none" w:sz="0" w:space="0" w:color="auto"/>
        <w:left w:val="none" w:sz="0" w:space="0" w:color="auto"/>
        <w:bottom w:val="none" w:sz="0" w:space="0" w:color="auto"/>
        <w:right w:val="none" w:sz="0" w:space="0" w:color="auto"/>
      </w:divBdr>
      <w:divsChild>
        <w:div w:id="560213176">
          <w:marLeft w:val="0"/>
          <w:marRight w:val="0"/>
          <w:marTop w:val="0"/>
          <w:marBottom w:val="0"/>
          <w:divBdr>
            <w:top w:val="single" w:sz="6" w:space="0" w:color="D6D5D4"/>
            <w:left w:val="single" w:sz="6" w:space="0" w:color="D6D5D4"/>
            <w:bottom w:val="single" w:sz="6" w:space="0" w:color="D6D5D4"/>
            <w:right w:val="single" w:sz="6" w:space="0" w:color="D6D5D4"/>
          </w:divBdr>
          <w:divsChild>
            <w:div w:id="34812822">
              <w:marLeft w:val="0"/>
              <w:marRight w:val="0"/>
              <w:marTop w:val="0"/>
              <w:marBottom w:val="0"/>
              <w:divBdr>
                <w:top w:val="single" w:sz="6" w:space="7" w:color="BEBEBD"/>
                <w:left w:val="single" w:sz="6" w:space="7" w:color="BEBEBD"/>
                <w:bottom w:val="single" w:sz="6" w:space="5" w:color="BEBEBD"/>
                <w:right w:val="single" w:sz="6" w:space="7" w:color="BEBEBD"/>
              </w:divBdr>
              <w:divsChild>
                <w:div w:id="2087871795">
                  <w:marLeft w:val="0"/>
                  <w:marRight w:val="0"/>
                  <w:marTop w:val="75"/>
                  <w:marBottom w:val="0"/>
                  <w:divBdr>
                    <w:top w:val="none" w:sz="0" w:space="0" w:color="auto"/>
                    <w:left w:val="none" w:sz="0" w:space="0" w:color="auto"/>
                    <w:bottom w:val="none" w:sz="0" w:space="0" w:color="auto"/>
                    <w:right w:val="none" w:sz="0" w:space="0" w:color="auto"/>
                  </w:divBdr>
                  <w:divsChild>
                    <w:div w:id="551232987">
                      <w:marLeft w:val="0"/>
                      <w:marRight w:val="0"/>
                      <w:marTop w:val="0"/>
                      <w:marBottom w:val="0"/>
                      <w:divBdr>
                        <w:top w:val="none" w:sz="0" w:space="0" w:color="auto"/>
                        <w:left w:val="none" w:sz="0" w:space="0" w:color="auto"/>
                        <w:bottom w:val="none" w:sz="0" w:space="0" w:color="auto"/>
                        <w:right w:val="none" w:sz="0" w:space="0" w:color="auto"/>
                      </w:divBdr>
                      <w:divsChild>
                        <w:div w:id="610548074">
                          <w:marLeft w:val="0"/>
                          <w:marRight w:val="0"/>
                          <w:marTop w:val="0"/>
                          <w:marBottom w:val="0"/>
                          <w:divBdr>
                            <w:top w:val="none" w:sz="0" w:space="0" w:color="auto"/>
                            <w:left w:val="none" w:sz="0" w:space="0" w:color="auto"/>
                            <w:bottom w:val="none" w:sz="0" w:space="0" w:color="auto"/>
                            <w:right w:val="none" w:sz="0" w:space="0" w:color="auto"/>
                          </w:divBdr>
                        </w:div>
                      </w:divsChild>
                    </w:div>
                    <w:div w:id="161088893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653555536">
          <w:marLeft w:val="0"/>
          <w:marRight w:val="0"/>
          <w:marTop w:val="120"/>
          <w:marBottom w:val="0"/>
          <w:divBdr>
            <w:top w:val="single" w:sz="6" w:space="0" w:color="D6D5D4"/>
            <w:left w:val="single" w:sz="6" w:space="0" w:color="D6D5D4"/>
            <w:bottom w:val="single" w:sz="6" w:space="0" w:color="D6D5D4"/>
            <w:right w:val="single" w:sz="6" w:space="0" w:color="D6D5D4"/>
          </w:divBdr>
          <w:divsChild>
            <w:div w:id="636879087">
              <w:marLeft w:val="0"/>
              <w:marRight w:val="0"/>
              <w:marTop w:val="0"/>
              <w:marBottom w:val="0"/>
              <w:divBdr>
                <w:top w:val="single" w:sz="6" w:space="8" w:color="BEBEBD"/>
                <w:left w:val="single" w:sz="6" w:space="8" w:color="BEBEBD"/>
                <w:bottom w:val="single" w:sz="6" w:space="8" w:color="BEBEBD"/>
                <w:right w:val="single" w:sz="6" w:space="8" w:color="BEBEBD"/>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history.g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dc:creator>
  <cp:lastModifiedBy>abcd</cp:lastModifiedBy>
  <cp:revision>1</cp:revision>
  <dcterms:created xsi:type="dcterms:W3CDTF">2018-07-12T08:39:00Z</dcterms:created>
  <dcterms:modified xsi:type="dcterms:W3CDTF">2018-07-12T08:40:00Z</dcterms:modified>
</cp:coreProperties>
</file>